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B29" w:rsidRPr="001F016B" w:rsidRDefault="001F016B" w:rsidP="001F016B">
      <w:pPr>
        <w:spacing w:line="276" w:lineRule="auto"/>
        <w:rPr>
          <w:b/>
          <w:u w:val="single"/>
        </w:rPr>
      </w:pPr>
      <w:r w:rsidRPr="001F016B">
        <w:rPr>
          <w:b/>
          <w:u w:val="single"/>
        </w:rPr>
        <w:t>INFORMAÇÕES PARA O SITE</w:t>
      </w:r>
    </w:p>
    <w:p w:rsidR="001F016B" w:rsidRPr="005E3F60" w:rsidRDefault="001F016B" w:rsidP="003E6B29">
      <w:pPr>
        <w:spacing w:line="276" w:lineRule="auto"/>
        <w:jc w:val="center"/>
        <w:rPr>
          <w:b/>
        </w:rPr>
      </w:pPr>
    </w:p>
    <w:p w:rsidR="008D227A" w:rsidRPr="005E3F60" w:rsidRDefault="00217E75" w:rsidP="00A248F7">
      <w:pPr>
        <w:spacing w:after="240" w:line="276" w:lineRule="auto"/>
        <w:jc w:val="center"/>
        <w:rPr>
          <w:b/>
          <w:sz w:val="32"/>
          <w:szCs w:val="32"/>
        </w:rPr>
      </w:pPr>
      <w:r w:rsidRPr="005E3F60">
        <w:rPr>
          <w:b/>
          <w:sz w:val="32"/>
          <w:szCs w:val="32"/>
        </w:rPr>
        <w:t>COMUNICADO DE INÍCIO DE FABRICAÇÃO OU IMPORTAÇÃO</w:t>
      </w:r>
    </w:p>
    <w:p w:rsidR="00D91096" w:rsidRPr="005E3F60" w:rsidRDefault="00D91096" w:rsidP="00D91096">
      <w:pPr>
        <w:spacing w:after="240" w:line="276" w:lineRule="auto"/>
        <w:ind w:firstLine="708"/>
        <w:jc w:val="both"/>
      </w:pPr>
      <w:r>
        <w:t>O Comunicado de Início de Fabricação ou Importação é</w:t>
      </w:r>
      <w:r w:rsidRPr="005E3F60">
        <w:t xml:space="preserve"> a comunicação feita pelo fabricante ou importador junto à Vigilância Sanitária para que esta tenha conhecimento sobre os produtos por eles fabricados ou importados.</w:t>
      </w:r>
    </w:p>
    <w:p w:rsidR="00D91096" w:rsidRPr="005E3F60" w:rsidRDefault="00D91096" w:rsidP="00D91096">
      <w:pPr>
        <w:spacing w:after="240" w:line="276" w:lineRule="auto"/>
        <w:ind w:firstLine="708"/>
        <w:jc w:val="both"/>
      </w:pPr>
      <w:r w:rsidRPr="005E3F60">
        <w:t>A comunicação deve ser realizada sempre que for iniciada a fabricação ou importação de um novo produto.</w:t>
      </w:r>
    </w:p>
    <w:p w:rsidR="00D91096" w:rsidRPr="005E3F60" w:rsidRDefault="00FA2B4D" w:rsidP="00D91096">
      <w:pPr>
        <w:spacing w:after="240" w:line="276" w:lineRule="auto"/>
        <w:ind w:firstLine="708"/>
        <w:jc w:val="both"/>
      </w:pPr>
      <w:r>
        <w:t>As</w:t>
      </w:r>
      <w:r w:rsidR="00D91096" w:rsidRPr="005E3F60">
        <w:t xml:space="preserve"> informações </w:t>
      </w:r>
      <w:r>
        <w:t xml:space="preserve">aqui apresentadas </w:t>
      </w:r>
      <w:r w:rsidR="00D91096" w:rsidRPr="005E3F60">
        <w:t>não eximem os responsáveis da leitura completa das legislações pertinentes.</w:t>
      </w:r>
    </w:p>
    <w:p w:rsidR="00D91096" w:rsidRPr="005E3F60" w:rsidRDefault="00D91096" w:rsidP="00D91096">
      <w:pPr>
        <w:pStyle w:val="PargrafodaLista"/>
        <w:numPr>
          <w:ilvl w:val="0"/>
          <w:numId w:val="1"/>
        </w:numPr>
        <w:spacing w:after="240" w:line="276" w:lineRule="auto"/>
        <w:ind w:left="851"/>
        <w:jc w:val="both"/>
      </w:pPr>
      <w:r w:rsidRPr="005E3F60">
        <w:rPr>
          <w:i/>
        </w:rPr>
        <w:t>Resolução - RDC nº 843, de 22 de fevereiro de 2024.</w:t>
      </w:r>
    </w:p>
    <w:p w:rsidR="00F51B12" w:rsidRPr="005E3F60" w:rsidRDefault="00D91096" w:rsidP="00D91096">
      <w:pPr>
        <w:pStyle w:val="PargrafodaLista"/>
        <w:numPr>
          <w:ilvl w:val="0"/>
          <w:numId w:val="1"/>
        </w:numPr>
        <w:spacing w:after="240" w:line="276" w:lineRule="auto"/>
        <w:ind w:left="851"/>
        <w:jc w:val="both"/>
      </w:pPr>
      <w:r w:rsidRPr="005E3F60">
        <w:rPr>
          <w:i/>
        </w:rPr>
        <w:t>Instrução Normativa - IN nº 281, de 22 de fevereiro de 2024.</w:t>
      </w:r>
    </w:p>
    <w:p w:rsidR="009251B7" w:rsidRDefault="009251B7" w:rsidP="004D1A8C">
      <w:pPr>
        <w:spacing w:after="240" w:line="276" w:lineRule="auto"/>
        <w:ind w:firstLine="491"/>
        <w:jc w:val="both"/>
      </w:pPr>
    </w:p>
    <w:p w:rsidR="009251B7" w:rsidRPr="00194653" w:rsidRDefault="009251B7" w:rsidP="009251B7">
      <w:pPr>
        <w:spacing w:after="240" w:line="276" w:lineRule="auto"/>
        <w:jc w:val="both"/>
        <w:rPr>
          <w:b/>
        </w:rPr>
      </w:pPr>
      <w:r w:rsidRPr="00194653">
        <w:rPr>
          <w:b/>
        </w:rPr>
        <w:t>PROTOCOLO DA COMUNICAÇÃO DE INÍCIO DE FABRICAÇÃO OU IMPORTAÇÃO</w:t>
      </w:r>
    </w:p>
    <w:p w:rsidR="009251B7" w:rsidRDefault="009251B7" w:rsidP="009251B7">
      <w:pPr>
        <w:pStyle w:val="PargrafodaLista"/>
        <w:numPr>
          <w:ilvl w:val="0"/>
          <w:numId w:val="1"/>
        </w:numPr>
        <w:spacing w:line="276" w:lineRule="auto"/>
        <w:ind w:left="851" w:hanging="284"/>
        <w:jc w:val="both"/>
      </w:pPr>
      <w:r w:rsidRPr="00194653">
        <w:rPr>
          <w:b/>
          <w:u w:val="single"/>
        </w:rPr>
        <w:t>Documentação necessária:</w:t>
      </w:r>
      <w:r w:rsidRPr="005E3F60">
        <w:t xml:space="preserve"> ANEXO XI (formulário) da IN 281/2024, devidamente preenchido e assinado pelo responsável pela empresa.</w:t>
      </w:r>
    </w:p>
    <w:p w:rsidR="009251B7" w:rsidRPr="005E3F60" w:rsidRDefault="009251B7" w:rsidP="009251B7">
      <w:pPr>
        <w:pStyle w:val="PargrafodaLista"/>
        <w:spacing w:line="276" w:lineRule="auto"/>
        <w:ind w:left="851"/>
        <w:jc w:val="both"/>
      </w:pPr>
      <w:r w:rsidRPr="00194653">
        <w:rPr>
          <w:i/>
        </w:rPr>
        <w:t>Observação: não é necessário apresentar os rótulos/embalagens dos produtos.</w:t>
      </w:r>
    </w:p>
    <w:p w:rsidR="009251B7" w:rsidRDefault="009251B7" w:rsidP="009251B7">
      <w:pPr>
        <w:pStyle w:val="PargrafodaLista"/>
        <w:numPr>
          <w:ilvl w:val="0"/>
          <w:numId w:val="1"/>
        </w:numPr>
        <w:spacing w:line="276" w:lineRule="auto"/>
        <w:ind w:left="851"/>
        <w:jc w:val="both"/>
      </w:pPr>
      <w:r w:rsidRPr="00194653">
        <w:rPr>
          <w:b/>
          <w:u w:val="single"/>
        </w:rPr>
        <w:t>Procedimento:</w:t>
      </w:r>
      <w:r w:rsidRPr="00194653">
        <w:rPr>
          <w:b/>
        </w:rPr>
        <w:t xml:space="preserve"> </w:t>
      </w:r>
      <w:r w:rsidRPr="005E3F60">
        <w:t>O protocolo é realizado via requerimento no Portal Minha Indaiatuba, em nome e CNPJ da empresa responsável pela regularização.</w:t>
      </w:r>
    </w:p>
    <w:p w:rsidR="009251B7" w:rsidRPr="00194653" w:rsidRDefault="009251B7" w:rsidP="009251B7">
      <w:pPr>
        <w:pStyle w:val="PargrafodaLista"/>
        <w:spacing w:line="276" w:lineRule="auto"/>
        <w:ind w:left="851"/>
        <w:jc w:val="both"/>
      </w:pPr>
      <w:r w:rsidRPr="00194653">
        <w:rPr>
          <w:i/>
        </w:rPr>
        <w:t xml:space="preserve">Observação: </w:t>
      </w:r>
      <w:r w:rsidRPr="005E3F60">
        <w:t>o ANEXO XI (formulário) preenchido e assinado deve estar em um único arquivo, em formato PDF.</w:t>
      </w:r>
    </w:p>
    <w:p w:rsidR="009251B7" w:rsidRDefault="009251B7" w:rsidP="004D1A8C">
      <w:pPr>
        <w:spacing w:after="240" w:line="276" w:lineRule="auto"/>
        <w:ind w:firstLine="491"/>
        <w:jc w:val="both"/>
      </w:pPr>
    </w:p>
    <w:p w:rsidR="007562FF" w:rsidRDefault="00022D9E" w:rsidP="004D1A8C">
      <w:pPr>
        <w:spacing w:after="240" w:line="276" w:lineRule="auto"/>
        <w:ind w:firstLine="491"/>
        <w:jc w:val="both"/>
      </w:pPr>
      <w:r w:rsidRPr="005E3F60">
        <w:t xml:space="preserve">O </w:t>
      </w:r>
      <w:r w:rsidRPr="005E3F60">
        <w:rPr>
          <w:b/>
        </w:rPr>
        <w:t>ANEXO III</w:t>
      </w:r>
      <w:r w:rsidRPr="005E3F60">
        <w:t xml:space="preserve"> da IN 281/2024 apresenta </w:t>
      </w:r>
      <w:r w:rsidR="0041271B" w:rsidRPr="005E3F60">
        <w:t>as</w:t>
      </w:r>
      <w:r w:rsidR="00255149" w:rsidRPr="005E3F60">
        <w:t xml:space="preserve"> categorias de alimentos e embalagens com </w:t>
      </w:r>
      <w:r w:rsidR="00255149" w:rsidRPr="005E3F60">
        <w:rPr>
          <w:b/>
          <w:u w:val="single"/>
        </w:rPr>
        <w:t>obrigatoriedade</w:t>
      </w:r>
      <w:r w:rsidR="00255149" w:rsidRPr="005E3F60">
        <w:t xml:space="preserve"> de </w:t>
      </w:r>
      <w:r w:rsidR="00730CC1" w:rsidRPr="005E3F60">
        <w:t>C</w:t>
      </w:r>
      <w:r w:rsidR="00255149" w:rsidRPr="005E3F60">
        <w:t xml:space="preserve">omunicação de </w:t>
      </w:r>
      <w:r w:rsidR="00730CC1" w:rsidRPr="005E3F60">
        <w:t>I</w:t>
      </w:r>
      <w:r w:rsidR="00255149" w:rsidRPr="005E3F60">
        <w:t>níc</w:t>
      </w:r>
      <w:r w:rsidR="00F5126F" w:rsidRPr="005E3F60">
        <w:t xml:space="preserve">io de </w:t>
      </w:r>
      <w:r w:rsidR="00730CC1" w:rsidRPr="005E3F60">
        <w:t>F</w:t>
      </w:r>
      <w:r w:rsidR="00F5126F" w:rsidRPr="005E3F60">
        <w:t xml:space="preserve">abricação ou </w:t>
      </w:r>
      <w:r w:rsidR="00730CC1" w:rsidRPr="005E3F60">
        <w:t>I</w:t>
      </w:r>
      <w:r w:rsidR="00F5126F" w:rsidRPr="005E3F60">
        <w:t>mportação</w:t>
      </w:r>
      <w:r w:rsidRPr="005E3F60">
        <w:t>.</w:t>
      </w:r>
    </w:p>
    <w:p w:rsidR="00874231" w:rsidRPr="007305C9" w:rsidRDefault="007305C9" w:rsidP="00874231">
      <w:pPr>
        <w:spacing w:line="276" w:lineRule="auto"/>
        <w:jc w:val="both"/>
        <w:rPr>
          <w:b/>
        </w:rPr>
      </w:pPr>
      <w:r w:rsidRPr="007305C9">
        <w:rPr>
          <w:b/>
        </w:rPr>
        <w:t>ANEXO III</w:t>
      </w:r>
    </w:p>
    <w:tbl>
      <w:tblPr>
        <w:tblStyle w:val="Tabelacomgrade"/>
        <w:tblW w:w="0" w:type="auto"/>
        <w:tblLook w:val="04A0" w:firstRow="1" w:lastRow="0" w:firstColumn="1" w:lastColumn="0" w:noHBand="0" w:noVBand="1"/>
      </w:tblPr>
      <w:tblGrid>
        <w:gridCol w:w="684"/>
        <w:gridCol w:w="8036"/>
      </w:tblGrid>
      <w:tr w:rsidR="00874231" w:rsidRPr="00874231" w:rsidTr="00874231">
        <w:tc>
          <w:tcPr>
            <w:tcW w:w="684" w:type="dxa"/>
            <w:vAlign w:val="center"/>
          </w:tcPr>
          <w:p w:rsidR="00874231" w:rsidRPr="00874231" w:rsidRDefault="00874231" w:rsidP="00874231">
            <w:pPr>
              <w:spacing w:line="276" w:lineRule="auto"/>
              <w:jc w:val="center"/>
            </w:pPr>
            <w:r w:rsidRPr="00874231">
              <w:t>1.</w:t>
            </w:r>
          </w:p>
        </w:tc>
        <w:tc>
          <w:tcPr>
            <w:tcW w:w="8036" w:type="dxa"/>
            <w:vAlign w:val="center"/>
          </w:tcPr>
          <w:p w:rsidR="00874231" w:rsidRPr="00874231" w:rsidRDefault="00874231" w:rsidP="00F049B7">
            <w:pPr>
              <w:spacing w:line="276" w:lineRule="auto"/>
              <w:jc w:val="both"/>
            </w:pPr>
            <w:r w:rsidRPr="00874231">
              <w:t>Açúcar, açúcar líquido invertido, açúcar de confeitaria, bala, bombom, cacau em pó, cacau solúvel, chocolate, chocolate branco, goma de mascar, manteiga de cacau, massa de cacau, melaço, melado e rapadura</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2.</w:t>
            </w:r>
          </w:p>
        </w:tc>
        <w:tc>
          <w:tcPr>
            <w:tcW w:w="8036" w:type="dxa"/>
            <w:vAlign w:val="center"/>
          </w:tcPr>
          <w:p w:rsidR="00874231" w:rsidRPr="00874231" w:rsidRDefault="00874231" w:rsidP="00F049B7">
            <w:pPr>
              <w:spacing w:line="276" w:lineRule="auto"/>
              <w:jc w:val="both"/>
            </w:pPr>
            <w:r w:rsidRPr="00874231">
              <w:t>Aditivos alimentares, incluídos os fermentos químicos, os adoçantes de mesa e os adoçantes dietéticos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3.</w:t>
            </w:r>
          </w:p>
        </w:tc>
        <w:tc>
          <w:tcPr>
            <w:tcW w:w="8036" w:type="dxa"/>
            <w:vAlign w:val="center"/>
          </w:tcPr>
          <w:p w:rsidR="00874231" w:rsidRPr="00874231" w:rsidRDefault="00874231" w:rsidP="00F049B7">
            <w:pPr>
              <w:spacing w:line="276" w:lineRule="auto"/>
              <w:jc w:val="both"/>
            </w:pPr>
            <w:r w:rsidRPr="00874231">
              <w:t>Alimentos para dietas com restrição de nutrientes, alimentos para dietas de ingestão controlada de açúcares e sal hipossódico</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lastRenderedPageBreak/>
              <w:t>4.</w:t>
            </w:r>
          </w:p>
        </w:tc>
        <w:tc>
          <w:tcPr>
            <w:tcW w:w="8036" w:type="dxa"/>
            <w:vAlign w:val="center"/>
          </w:tcPr>
          <w:p w:rsidR="00874231" w:rsidRPr="00874231" w:rsidRDefault="00874231" w:rsidP="00F049B7">
            <w:pPr>
              <w:spacing w:line="276" w:lineRule="auto"/>
              <w:jc w:val="both"/>
            </w:pPr>
            <w:r w:rsidRPr="00874231">
              <w:t>Amidos, biscoitos, cereais integrais, cereais processados, farelos, farinhas, farinhas integrais, massas alimentícias e pães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5.</w:t>
            </w:r>
          </w:p>
        </w:tc>
        <w:tc>
          <w:tcPr>
            <w:tcW w:w="8036" w:type="dxa"/>
            <w:vAlign w:val="center"/>
          </w:tcPr>
          <w:p w:rsidR="00874231" w:rsidRPr="00874231" w:rsidRDefault="00874231" w:rsidP="00F049B7">
            <w:pPr>
              <w:spacing w:line="276" w:lineRule="auto"/>
              <w:jc w:val="both"/>
            </w:pPr>
            <w:r w:rsidRPr="00874231">
              <w:t>Café, cevada, chás, erva-mate, especiarias, temperos e molhos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6.</w:t>
            </w:r>
          </w:p>
        </w:tc>
        <w:tc>
          <w:tcPr>
            <w:tcW w:w="8036" w:type="dxa"/>
            <w:vAlign w:val="center"/>
          </w:tcPr>
          <w:p w:rsidR="00874231" w:rsidRPr="00874231" w:rsidRDefault="00874231" w:rsidP="00F049B7">
            <w:pPr>
              <w:spacing w:line="276" w:lineRule="auto"/>
              <w:jc w:val="both"/>
            </w:pPr>
            <w:r w:rsidRPr="00874231">
              <w:t>Coadjuvantes de tecnologia, incluídos os fermentos biológicos, as culturas microbianas, as enzimas e preparações enzimáticas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7.</w:t>
            </w:r>
          </w:p>
        </w:tc>
        <w:tc>
          <w:tcPr>
            <w:tcW w:w="8036" w:type="dxa"/>
            <w:vAlign w:val="center"/>
          </w:tcPr>
          <w:p w:rsidR="00874231" w:rsidRPr="00874231" w:rsidRDefault="00874231" w:rsidP="00F049B7">
            <w:pPr>
              <w:spacing w:line="276" w:lineRule="auto"/>
              <w:jc w:val="both"/>
            </w:pPr>
            <w:r w:rsidRPr="00874231">
              <w:t>Cogumelos comestíveis, produtos de frutas e produtos de vegetais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8.</w:t>
            </w:r>
          </w:p>
        </w:tc>
        <w:tc>
          <w:tcPr>
            <w:tcW w:w="8036" w:type="dxa"/>
            <w:vAlign w:val="center"/>
          </w:tcPr>
          <w:p w:rsidR="00874231" w:rsidRPr="00874231" w:rsidRDefault="00874231" w:rsidP="00F049B7">
            <w:pPr>
              <w:spacing w:line="276" w:lineRule="auto"/>
              <w:jc w:val="both"/>
            </w:pPr>
            <w:r w:rsidRPr="00874231">
              <w:t>Embalagens para alimentos, incluindo embalagens finais de PET-PCR grau alimentício quando essas forem elaboradas a partir de artigo precursor notificado</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9.</w:t>
            </w:r>
          </w:p>
        </w:tc>
        <w:tc>
          <w:tcPr>
            <w:tcW w:w="8036" w:type="dxa"/>
            <w:vAlign w:val="center"/>
          </w:tcPr>
          <w:p w:rsidR="00874231" w:rsidRPr="00874231" w:rsidRDefault="00874231" w:rsidP="00F049B7">
            <w:pPr>
              <w:spacing w:line="276" w:lineRule="auto"/>
              <w:jc w:val="both"/>
            </w:pPr>
            <w:r w:rsidRPr="00874231">
              <w:t>Gelados comestíveis e preparados para gelados comestíveis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10.</w:t>
            </w:r>
          </w:p>
        </w:tc>
        <w:tc>
          <w:tcPr>
            <w:tcW w:w="8036" w:type="dxa"/>
            <w:vAlign w:val="center"/>
          </w:tcPr>
          <w:p w:rsidR="00874231" w:rsidRPr="00874231" w:rsidRDefault="00874231" w:rsidP="00F049B7">
            <w:pPr>
              <w:spacing w:line="276" w:lineRule="auto"/>
              <w:jc w:val="both"/>
            </w:pPr>
            <w:r w:rsidRPr="00874231">
              <w:t>Gelo, água mineral natural, água natural e águas adicionadas de sais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11.</w:t>
            </w:r>
          </w:p>
        </w:tc>
        <w:tc>
          <w:tcPr>
            <w:tcW w:w="8036" w:type="dxa"/>
            <w:vAlign w:val="center"/>
          </w:tcPr>
          <w:p w:rsidR="00874231" w:rsidRPr="00874231" w:rsidRDefault="00874231" w:rsidP="00F049B7">
            <w:pPr>
              <w:spacing w:line="276" w:lineRule="auto"/>
              <w:jc w:val="both"/>
            </w:pPr>
            <w:r w:rsidRPr="00874231">
              <w:t>Mistura para o preparo de alimentos e alimentos prontos para o consumo</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12.</w:t>
            </w:r>
          </w:p>
        </w:tc>
        <w:tc>
          <w:tcPr>
            <w:tcW w:w="8036" w:type="dxa"/>
            <w:vAlign w:val="center"/>
          </w:tcPr>
          <w:p w:rsidR="00874231" w:rsidRPr="00874231" w:rsidRDefault="00874231" w:rsidP="00F049B7">
            <w:pPr>
              <w:spacing w:line="276" w:lineRule="auto"/>
              <w:jc w:val="both"/>
            </w:pPr>
            <w:r w:rsidRPr="00874231">
              <w:t>Óleos e gorduras vegetais</w:t>
            </w:r>
            <w:r w:rsidR="00C76FF8">
              <w:t>.</w:t>
            </w:r>
          </w:p>
        </w:tc>
      </w:tr>
      <w:tr w:rsidR="00874231" w:rsidRPr="00874231" w:rsidTr="00874231">
        <w:tc>
          <w:tcPr>
            <w:tcW w:w="684" w:type="dxa"/>
            <w:vAlign w:val="center"/>
          </w:tcPr>
          <w:p w:rsidR="00874231" w:rsidRPr="00874231" w:rsidRDefault="00874231" w:rsidP="00874231">
            <w:pPr>
              <w:spacing w:line="276" w:lineRule="auto"/>
              <w:jc w:val="center"/>
            </w:pPr>
            <w:r w:rsidRPr="00874231">
              <w:t>13.</w:t>
            </w:r>
          </w:p>
        </w:tc>
        <w:tc>
          <w:tcPr>
            <w:tcW w:w="8036" w:type="dxa"/>
            <w:vAlign w:val="center"/>
          </w:tcPr>
          <w:p w:rsidR="00874231" w:rsidRPr="00874231" w:rsidRDefault="00874231" w:rsidP="00F049B7">
            <w:pPr>
              <w:spacing w:line="276" w:lineRule="auto"/>
              <w:jc w:val="both"/>
            </w:pPr>
            <w:r w:rsidRPr="00874231">
              <w:t>Sal enriquecido com iodo</w:t>
            </w:r>
            <w:r w:rsidR="00C76FF8">
              <w:t>.</w:t>
            </w:r>
          </w:p>
        </w:tc>
      </w:tr>
    </w:tbl>
    <w:p w:rsidR="00874231" w:rsidRDefault="00874231" w:rsidP="004D1A8C">
      <w:pPr>
        <w:spacing w:after="240" w:line="276" w:lineRule="auto"/>
        <w:ind w:firstLine="491"/>
        <w:jc w:val="both"/>
      </w:pPr>
    </w:p>
    <w:p w:rsidR="00894877" w:rsidRDefault="00022D9E" w:rsidP="00894877">
      <w:pPr>
        <w:spacing w:after="240" w:line="276" w:lineRule="auto"/>
        <w:ind w:firstLine="491"/>
        <w:jc w:val="both"/>
      </w:pPr>
      <w:r w:rsidRPr="005E3F60">
        <w:t xml:space="preserve">O </w:t>
      </w:r>
      <w:r w:rsidRPr="005E3F60">
        <w:rPr>
          <w:b/>
        </w:rPr>
        <w:t>ANEXO IV</w:t>
      </w:r>
      <w:r w:rsidRPr="005E3F60">
        <w:t xml:space="preserve"> da IN 281/2024 apresenta </w:t>
      </w:r>
      <w:r w:rsidR="0041271B" w:rsidRPr="005E3F60">
        <w:t>as</w:t>
      </w:r>
      <w:r w:rsidR="00F5126F" w:rsidRPr="005E3F60">
        <w:t xml:space="preserve"> </w:t>
      </w:r>
      <w:r w:rsidR="00255149" w:rsidRPr="005E3F60">
        <w:t xml:space="preserve">categorias de alimentos e embalagens </w:t>
      </w:r>
      <w:r w:rsidR="00255149" w:rsidRPr="005E3F60">
        <w:rPr>
          <w:b/>
          <w:u w:val="single"/>
        </w:rPr>
        <w:t>dispensados</w:t>
      </w:r>
      <w:r w:rsidR="00255149" w:rsidRPr="005E3F60">
        <w:t xml:space="preserve"> de regularização junto ao SNVS, portanto, não precisam de </w:t>
      </w:r>
      <w:r w:rsidR="00730CC1" w:rsidRPr="005E3F60">
        <w:t>C</w:t>
      </w:r>
      <w:r w:rsidR="00255149" w:rsidRPr="005E3F60">
        <w:t xml:space="preserve">omunicado de </w:t>
      </w:r>
      <w:r w:rsidR="00730CC1" w:rsidRPr="005E3F60">
        <w:t>I</w:t>
      </w:r>
      <w:r w:rsidR="00255149" w:rsidRPr="005E3F60">
        <w:t xml:space="preserve">nício de </w:t>
      </w:r>
      <w:r w:rsidR="00730CC1" w:rsidRPr="005E3F60">
        <w:t>F</w:t>
      </w:r>
      <w:r w:rsidR="00255149" w:rsidRPr="005E3F60">
        <w:t>abricação</w:t>
      </w:r>
      <w:r w:rsidR="00E97891" w:rsidRPr="005E3F60">
        <w:t xml:space="preserve"> ou </w:t>
      </w:r>
      <w:r w:rsidR="00730CC1" w:rsidRPr="005E3F60">
        <w:t>I</w:t>
      </w:r>
      <w:r w:rsidR="00E97891" w:rsidRPr="005E3F60">
        <w:t>mportação</w:t>
      </w:r>
      <w:r w:rsidR="00255149" w:rsidRPr="005E3F60">
        <w:t>.</w:t>
      </w:r>
    </w:p>
    <w:p w:rsidR="00894877" w:rsidRPr="007305C9" w:rsidRDefault="00894877" w:rsidP="00894877">
      <w:pPr>
        <w:spacing w:line="276" w:lineRule="auto"/>
        <w:jc w:val="both"/>
        <w:rPr>
          <w:b/>
        </w:rPr>
      </w:pPr>
      <w:r w:rsidRPr="007305C9">
        <w:rPr>
          <w:b/>
        </w:rPr>
        <w:t>ANEXO IV</w:t>
      </w:r>
    </w:p>
    <w:tbl>
      <w:tblPr>
        <w:tblStyle w:val="Tabelacomgrade"/>
        <w:tblW w:w="0" w:type="auto"/>
        <w:tblLook w:val="04A0" w:firstRow="1" w:lastRow="0" w:firstColumn="1" w:lastColumn="0" w:noHBand="0" w:noVBand="1"/>
      </w:tblPr>
      <w:tblGrid>
        <w:gridCol w:w="550"/>
        <w:gridCol w:w="8170"/>
      </w:tblGrid>
      <w:tr w:rsidR="00894877" w:rsidRPr="00894877" w:rsidTr="00894877">
        <w:tc>
          <w:tcPr>
            <w:tcW w:w="550" w:type="dxa"/>
            <w:vAlign w:val="center"/>
          </w:tcPr>
          <w:p w:rsidR="00894877" w:rsidRPr="00894877" w:rsidRDefault="00894877" w:rsidP="00894877">
            <w:pPr>
              <w:spacing w:line="276" w:lineRule="auto"/>
              <w:jc w:val="center"/>
            </w:pPr>
            <w:r w:rsidRPr="00894877">
              <w:t>1.</w:t>
            </w:r>
          </w:p>
        </w:tc>
        <w:tc>
          <w:tcPr>
            <w:tcW w:w="8170" w:type="dxa"/>
            <w:vAlign w:val="center"/>
          </w:tcPr>
          <w:p w:rsidR="00894877" w:rsidRPr="00894877" w:rsidRDefault="00894877" w:rsidP="00894877">
            <w:pPr>
              <w:spacing w:line="276" w:lineRule="auto"/>
              <w:jc w:val="both"/>
            </w:pPr>
            <w:r w:rsidRPr="00894877">
              <w:t>Matérias-primas alimentares.</w:t>
            </w:r>
          </w:p>
        </w:tc>
      </w:tr>
      <w:tr w:rsidR="00894877" w:rsidRPr="00894877" w:rsidTr="00894877">
        <w:tc>
          <w:tcPr>
            <w:tcW w:w="550" w:type="dxa"/>
            <w:vAlign w:val="center"/>
          </w:tcPr>
          <w:p w:rsidR="00894877" w:rsidRPr="00894877" w:rsidRDefault="00894877" w:rsidP="00894877">
            <w:pPr>
              <w:spacing w:line="276" w:lineRule="auto"/>
              <w:jc w:val="center"/>
            </w:pPr>
            <w:r w:rsidRPr="00894877">
              <w:t>2.</w:t>
            </w:r>
          </w:p>
        </w:tc>
        <w:tc>
          <w:tcPr>
            <w:tcW w:w="8170" w:type="dxa"/>
            <w:vAlign w:val="center"/>
          </w:tcPr>
          <w:p w:rsidR="00894877" w:rsidRPr="00894877" w:rsidRDefault="00894877" w:rsidP="00894877">
            <w:pPr>
              <w:spacing w:line="276" w:lineRule="auto"/>
              <w:jc w:val="both"/>
            </w:pPr>
            <w:r w:rsidRPr="00894877">
              <w:t xml:space="preserve">Alimentos </w:t>
            </w:r>
            <w:r w:rsidRPr="00894877">
              <w:rPr>
                <w:i/>
              </w:rPr>
              <w:t>in natura</w:t>
            </w:r>
            <w:r w:rsidRPr="00894877">
              <w:t>.</w:t>
            </w:r>
          </w:p>
        </w:tc>
      </w:tr>
      <w:tr w:rsidR="00894877" w:rsidRPr="00894877" w:rsidTr="00894877">
        <w:tc>
          <w:tcPr>
            <w:tcW w:w="550" w:type="dxa"/>
            <w:vAlign w:val="center"/>
          </w:tcPr>
          <w:p w:rsidR="00894877" w:rsidRPr="00894877" w:rsidRDefault="00894877" w:rsidP="00894877">
            <w:pPr>
              <w:spacing w:line="276" w:lineRule="auto"/>
              <w:jc w:val="center"/>
            </w:pPr>
            <w:r w:rsidRPr="00894877">
              <w:t>3.</w:t>
            </w:r>
          </w:p>
        </w:tc>
        <w:tc>
          <w:tcPr>
            <w:tcW w:w="8170" w:type="dxa"/>
            <w:vAlign w:val="center"/>
          </w:tcPr>
          <w:p w:rsidR="00894877" w:rsidRPr="00894877" w:rsidRDefault="00894877" w:rsidP="00894877">
            <w:pPr>
              <w:spacing w:line="276" w:lineRule="auto"/>
              <w:jc w:val="both"/>
            </w:pPr>
            <w:r w:rsidRPr="00894877">
              <w:t>Equipamentos para alimentos, inclusive os de uso doméstico.</w:t>
            </w:r>
          </w:p>
        </w:tc>
      </w:tr>
      <w:tr w:rsidR="00894877" w:rsidRPr="00894877" w:rsidTr="00894877">
        <w:tc>
          <w:tcPr>
            <w:tcW w:w="550" w:type="dxa"/>
            <w:vAlign w:val="center"/>
          </w:tcPr>
          <w:p w:rsidR="00894877" w:rsidRPr="00894877" w:rsidRDefault="00894877" w:rsidP="00894877">
            <w:pPr>
              <w:spacing w:line="276" w:lineRule="auto"/>
              <w:jc w:val="center"/>
            </w:pPr>
            <w:r w:rsidRPr="00894877">
              <w:t>4.</w:t>
            </w:r>
          </w:p>
        </w:tc>
        <w:tc>
          <w:tcPr>
            <w:tcW w:w="8170" w:type="dxa"/>
            <w:vAlign w:val="center"/>
          </w:tcPr>
          <w:p w:rsidR="00894877" w:rsidRPr="00894877" w:rsidRDefault="00894877" w:rsidP="00894877">
            <w:pPr>
              <w:spacing w:line="276" w:lineRule="auto"/>
              <w:jc w:val="both"/>
            </w:pPr>
            <w:r w:rsidRPr="00894877">
              <w:t>Produtos alimentícios e ingredientes, incluindo aditivos alimentares e coadjuvantes de tecnologia, elaborados conforme normas que estabelecem seus requisitos de composição, qualidade, segurança e rotulagem e que sejam usados exclusivamente na produção de alimentos industrializados.</w:t>
            </w:r>
          </w:p>
        </w:tc>
      </w:tr>
      <w:tr w:rsidR="00894877" w:rsidRPr="00894877" w:rsidTr="00894877">
        <w:tc>
          <w:tcPr>
            <w:tcW w:w="550" w:type="dxa"/>
            <w:vAlign w:val="center"/>
          </w:tcPr>
          <w:p w:rsidR="00894877" w:rsidRPr="00894877" w:rsidRDefault="00894877" w:rsidP="00894877">
            <w:pPr>
              <w:spacing w:line="276" w:lineRule="auto"/>
              <w:jc w:val="center"/>
            </w:pPr>
            <w:r w:rsidRPr="00894877">
              <w:t>5.</w:t>
            </w:r>
          </w:p>
        </w:tc>
        <w:tc>
          <w:tcPr>
            <w:tcW w:w="8170" w:type="dxa"/>
            <w:vAlign w:val="center"/>
          </w:tcPr>
          <w:p w:rsidR="00894877" w:rsidRPr="00894877" w:rsidRDefault="00894877" w:rsidP="00894877">
            <w:pPr>
              <w:spacing w:line="276" w:lineRule="auto"/>
              <w:jc w:val="both"/>
            </w:pPr>
            <w:r w:rsidRPr="00894877">
              <w:t>Produtos alimentícios manipulados e preparados em serviços de alimentação quando destinados à venda direta ao consumidor, como produtos de panificação, de pastifício, de pastel</w:t>
            </w:r>
            <w:r w:rsidR="0030021C">
              <w:t xml:space="preserve">aria, de confeitaria, de </w:t>
            </w:r>
            <w:proofErr w:type="spellStart"/>
            <w:r w:rsidR="0030021C">
              <w:t>doceria</w:t>
            </w:r>
            <w:proofErr w:type="spellEnd"/>
            <w:r w:rsidRPr="00894877">
              <w:t xml:space="preserve">, de </w:t>
            </w:r>
            <w:proofErr w:type="spellStart"/>
            <w:r w:rsidRPr="00894877">
              <w:t>rotisseria</w:t>
            </w:r>
            <w:proofErr w:type="spellEnd"/>
            <w:r w:rsidRPr="00894877">
              <w:t>, de sorveteria, de bares, de restaurantes, de cantinas, de unidades de alimentação e nutrição de serviços de saúde, de escolas, de creches, entre outros.</w:t>
            </w:r>
          </w:p>
        </w:tc>
      </w:tr>
    </w:tbl>
    <w:p w:rsidR="00894877" w:rsidRPr="00894877" w:rsidRDefault="00894877" w:rsidP="00894877">
      <w:pPr>
        <w:spacing w:line="276" w:lineRule="auto"/>
        <w:jc w:val="both"/>
      </w:pPr>
    </w:p>
    <w:p w:rsidR="00894877" w:rsidRDefault="00894877" w:rsidP="00DD2F4E">
      <w:pPr>
        <w:spacing w:line="276" w:lineRule="auto"/>
        <w:jc w:val="both"/>
      </w:pPr>
    </w:p>
    <w:p w:rsidR="00EF3038" w:rsidRPr="005E3F60" w:rsidRDefault="00EF3038" w:rsidP="00A248F7">
      <w:pPr>
        <w:spacing w:after="240" w:line="276" w:lineRule="auto"/>
        <w:jc w:val="both"/>
        <w:rPr>
          <w:b/>
        </w:rPr>
      </w:pPr>
      <w:r w:rsidRPr="005E3F60">
        <w:rPr>
          <w:b/>
        </w:rPr>
        <w:t>INFORMAÇÕES IMPORTANTES</w:t>
      </w:r>
    </w:p>
    <w:p w:rsidR="009251B7" w:rsidRPr="005E3F60" w:rsidRDefault="009251B7" w:rsidP="009251B7">
      <w:pPr>
        <w:spacing w:after="240" w:line="276" w:lineRule="auto"/>
        <w:ind w:firstLine="708"/>
        <w:jc w:val="both"/>
      </w:pPr>
      <w:r w:rsidRPr="005E3F60">
        <w:t>Quando um mesmo produto possuir diferentes fabricantes ou importadores, cada um deles deve realizar a comunicação junto à respectiva autoridade sanitária competente.</w:t>
      </w:r>
    </w:p>
    <w:p w:rsidR="009251B7" w:rsidRDefault="009251B7" w:rsidP="009251B7">
      <w:pPr>
        <w:spacing w:after="240" w:line="276" w:lineRule="auto"/>
        <w:ind w:firstLine="708"/>
        <w:jc w:val="both"/>
      </w:pPr>
      <w:r w:rsidRPr="005E3F60">
        <w:lastRenderedPageBreak/>
        <w:t>A Comunicação de Início de Fabr</w:t>
      </w:r>
      <w:r>
        <w:t>icação ou Importação do Produto</w:t>
      </w:r>
      <w:r w:rsidRPr="005E3F60">
        <w:t xml:space="preserve"> trata-se apenas de comunicação, portanto, não o torna aprovado pela autoridade sanitária.</w:t>
      </w:r>
    </w:p>
    <w:p w:rsidR="00DB4AB2" w:rsidRPr="005E3F60" w:rsidRDefault="00DB4AB2" w:rsidP="009251B7">
      <w:pPr>
        <w:spacing w:after="240" w:line="276" w:lineRule="auto"/>
        <w:ind w:firstLine="708"/>
        <w:jc w:val="both"/>
      </w:pPr>
      <w:r>
        <w:t>A empresa que realiza a comunicaç</w:t>
      </w:r>
      <w:r w:rsidR="00CA2F32">
        <w:t xml:space="preserve">ão </w:t>
      </w:r>
      <w:bookmarkStart w:id="0" w:name="_GoBack"/>
      <w:bookmarkEnd w:id="0"/>
      <w:r>
        <w:t>é responsável por garantir a veracidade, a correção e a atualização das informações apresentadas nos procedimentos para regularização, bem como responde pela garantia dos requisitos sanitários de composição, qualidade, segurança e rotulagem estabelecidos para o produto regularizado.</w:t>
      </w:r>
    </w:p>
    <w:p w:rsidR="009251B7" w:rsidRPr="005E3F60" w:rsidRDefault="009251B7" w:rsidP="009251B7">
      <w:pPr>
        <w:spacing w:after="240" w:line="276" w:lineRule="auto"/>
        <w:ind w:firstLine="708"/>
        <w:jc w:val="both"/>
      </w:pPr>
      <w:r w:rsidRPr="005E3F60">
        <w:t>A disponibilização do produto no mercado pode ser iniciada após o protocolo do comunicado de início de fabricação ou importação.</w:t>
      </w:r>
    </w:p>
    <w:p w:rsidR="009251B7" w:rsidRPr="005E3F60" w:rsidRDefault="009251B7" w:rsidP="009251B7">
      <w:pPr>
        <w:spacing w:after="240" w:line="276" w:lineRule="auto"/>
        <w:ind w:firstLine="708"/>
        <w:jc w:val="both"/>
      </w:pPr>
      <w:r w:rsidRPr="005E3F60">
        <w:t>O Comunicado de Início de Fabricação ou Importação possui validade indeterminada, ou seja, não precisa ser renovado. Um novo Comunicado deve ser protocolado quando houver alteração das informações prestadas no Comunicado Inicial.</w:t>
      </w:r>
    </w:p>
    <w:p w:rsidR="009251B7" w:rsidRPr="005E3F60" w:rsidRDefault="009251B7" w:rsidP="009251B7">
      <w:pPr>
        <w:spacing w:after="240" w:line="276" w:lineRule="auto"/>
        <w:ind w:firstLine="708"/>
        <w:jc w:val="both"/>
      </w:pPr>
      <w:r w:rsidRPr="005E3F60">
        <w:t>Após o recebimento do Comunicado de Início de Fabricação ou Importação, a autoridade sanitária competente pode, a seu critério, realizar inspeção sanitária nas unidades fabricantes ou armazenadoras dos alimentos ou embalagens.</w:t>
      </w:r>
    </w:p>
    <w:p w:rsidR="009251B7" w:rsidRPr="005E3F60" w:rsidRDefault="009251B7" w:rsidP="009251B7">
      <w:pPr>
        <w:spacing w:after="240" w:line="276" w:lineRule="auto"/>
        <w:ind w:firstLine="708"/>
        <w:jc w:val="both"/>
      </w:pPr>
      <w:r w:rsidRPr="005E3F60">
        <w:t>O descumprimento do estabelecido na Resolução RDC 843/2024 constitui infração sanitária, sujeitando os infratores às penalidades da Lei nº 6.437/1977 e demais disposições aplicáveis.</w:t>
      </w:r>
    </w:p>
    <w:p w:rsidR="009251B7" w:rsidRPr="005E3F60" w:rsidRDefault="009251B7" w:rsidP="009251B7">
      <w:pPr>
        <w:spacing w:line="276" w:lineRule="auto"/>
        <w:jc w:val="both"/>
      </w:pPr>
    </w:p>
    <w:p w:rsidR="009251B7" w:rsidRPr="005E3F60" w:rsidRDefault="009251B7" w:rsidP="009251B7">
      <w:pPr>
        <w:spacing w:after="240" w:line="276" w:lineRule="auto"/>
        <w:jc w:val="both"/>
        <w:rPr>
          <w:b/>
        </w:rPr>
      </w:pPr>
      <w:r w:rsidRPr="005E3F60">
        <w:rPr>
          <w:b/>
        </w:rPr>
        <w:t>Alteração de um Comunicado já protocolado</w:t>
      </w:r>
    </w:p>
    <w:p w:rsidR="009251B7" w:rsidRPr="005E3F60" w:rsidRDefault="009251B7" w:rsidP="009251B7">
      <w:pPr>
        <w:spacing w:after="240" w:line="276" w:lineRule="auto"/>
        <w:ind w:firstLine="708"/>
        <w:jc w:val="both"/>
      </w:pPr>
      <w:r w:rsidRPr="005E3F60">
        <w:t>Em caso de alteração das informações prestadas no comunicado inicial, uma solicitação de alteração deve ser realizada via protocolo um novo ANEXO XI (formulário) devidamente preenchido com as informações atualizadas.</w:t>
      </w:r>
    </w:p>
    <w:p w:rsidR="009251B7" w:rsidRPr="005E3F60" w:rsidRDefault="009251B7" w:rsidP="009251B7">
      <w:pPr>
        <w:spacing w:after="240" w:line="276" w:lineRule="auto"/>
        <w:ind w:firstLine="708"/>
        <w:jc w:val="both"/>
      </w:pPr>
      <w:r w:rsidRPr="005E3F60">
        <w:t>A solicitação de alteração do Comunicado resulta no cancelamento automático do Comunicado Inicial.</w:t>
      </w:r>
    </w:p>
    <w:p w:rsidR="009251B7" w:rsidRPr="005E3F60" w:rsidRDefault="009251B7" w:rsidP="009251B7">
      <w:pPr>
        <w:spacing w:after="240" w:line="276" w:lineRule="auto"/>
        <w:ind w:firstLine="708"/>
        <w:jc w:val="both"/>
      </w:pPr>
      <w:r w:rsidRPr="005E3F60">
        <w:t>A disponibilização do produto alterado no mercado pode ser iniciada após o protocolo do ANEXO XI (formulário) para alteração do Comunicado Inicial.</w:t>
      </w:r>
    </w:p>
    <w:p w:rsidR="009251B7" w:rsidRPr="005E3F60" w:rsidRDefault="009251B7" w:rsidP="009251B7">
      <w:pPr>
        <w:spacing w:line="276" w:lineRule="auto"/>
        <w:jc w:val="both"/>
      </w:pPr>
    </w:p>
    <w:p w:rsidR="009251B7" w:rsidRPr="005E3F60" w:rsidRDefault="009251B7" w:rsidP="009251B7">
      <w:pPr>
        <w:spacing w:after="240" w:line="276" w:lineRule="auto"/>
        <w:jc w:val="both"/>
        <w:rPr>
          <w:b/>
        </w:rPr>
      </w:pPr>
      <w:r w:rsidRPr="005E3F60">
        <w:rPr>
          <w:b/>
        </w:rPr>
        <w:t>Cancelamento de um Comunicado já protocolado</w:t>
      </w:r>
    </w:p>
    <w:p w:rsidR="009251B7" w:rsidRDefault="009251B7" w:rsidP="009251B7">
      <w:pPr>
        <w:spacing w:after="240" w:line="276" w:lineRule="auto"/>
        <w:ind w:firstLine="708"/>
        <w:jc w:val="both"/>
      </w:pPr>
      <w:r w:rsidRPr="005E3F60">
        <w:t>O cancelamento de um Comunicado já protocolado ocorrerá por meio da solicitação do seu cancelamento, quando não existir mais interesse na oferta do produto.</w:t>
      </w:r>
    </w:p>
    <w:sectPr w:rsidR="009251B7" w:rsidSect="00033886">
      <w:headerReference w:type="default" r:id="rId9"/>
      <w:footerReference w:type="default" r:id="rId10"/>
      <w:pgSz w:w="11906" w:h="16838"/>
      <w:pgMar w:top="1418" w:right="1418" w:bottom="1418"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92E" w:rsidRDefault="0015092E" w:rsidP="00954F4F">
      <w:r>
        <w:separator/>
      </w:r>
    </w:p>
  </w:endnote>
  <w:endnote w:type="continuationSeparator" w:id="0">
    <w:p w:rsidR="0015092E" w:rsidRDefault="0015092E" w:rsidP="0095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289961"/>
      <w:docPartObj>
        <w:docPartGallery w:val="Page Numbers (Bottom of Page)"/>
        <w:docPartUnique/>
      </w:docPartObj>
    </w:sdtPr>
    <w:sdtEndPr/>
    <w:sdtContent>
      <w:sdt>
        <w:sdtPr>
          <w:id w:val="860082579"/>
          <w:docPartObj>
            <w:docPartGallery w:val="Page Numbers (Top of Page)"/>
            <w:docPartUnique/>
          </w:docPartObj>
        </w:sdtPr>
        <w:sdtEndPr/>
        <w:sdtContent>
          <w:p w:rsidR="001D7BA3" w:rsidRPr="001D7BA3" w:rsidRDefault="001D7BA3">
            <w:pPr>
              <w:pStyle w:val="Rodap"/>
              <w:jc w:val="right"/>
            </w:pPr>
            <w:r w:rsidRPr="001D7BA3">
              <w:t>P</w:t>
            </w:r>
            <w:r>
              <w:t>á</w:t>
            </w:r>
            <w:r w:rsidRPr="001D7BA3">
              <w:t>g</w:t>
            </w:r>
            <w:r>
              <w:t>ina</w:t>
            </w:r>
            <w:r w:rsidRPr="001D7BA3">
              <w:t xml:space="preserve"> </w:t>
            </w:r>
            <w:r w:rsidRPr="001D7BA3">
              <w:rPr>
                <w:bCs/>
              </w:rPr>
              <w:fldChar w:fldCharType="begin"/>
            </w:r>
            <w:r w:rsidRPr="001D7BA3">
              <w:rPr>
                <w:bCs/>
              </w:rPr>
              <w:instrText>PAGE</w:instrText>
            </w:r>
            <w:r w:rsidRPr="001D7BA3">
              <w:rPr>
                <w:bCs/>
              </w:rPr>
              <w:fldChar w:fldCharType="separate"/>
            </w:r>
            <w:r w:rsidR="00221CB9">
              <w:rPr>
                <w:bCs/>
                <w:noProof/>
              </w:rPr>
              <w:t>1</w:t>
            </w:r>
            <w:r w:rsidRPr="001D7BA3">
              <w:rPr>
                <w:bCs/>
              </w:rPr>
              <w:fldChar w:fldCharType="end"/>
            </w:r>
            <w:r w:rsidRPr="001D7BA3">
              <w:t xml:space="preserve"> / </w:t>
            </w:r>
            <w:r w:rsidRPr="001D7BA3">
              <w:rPr>
                <w:bCs/>
              </w:rPr>
              <w:fldChar w:fldCharType="begin"/>
            </w:r>
            <w:r w:rsidRPr="001D7BA3">
              <w:rPr>
                <w:bCs/>
              </w:rPr>
              <w:instrText>NUMPAGES</w:instrText>
            </w:r>
            <w:r w:rsidRPr="001D7BA3">
              <w:rPr>
                <w:bCs/>
              </w:rPr>
              <w:fldChar w:fldCharType="separate"/>
            </w:r>
            <w:r w:rsidR="00221CB9">
              <w:rPr>
                <w:bCs/>
                <w:noProof/>
              </w:rPr>
              <w:t>3</w:t>
            </w:r>
            <w:r w:rsidRPr="001D7BA3">
              <w:rPr>
                <w:bCs/>
              </w:rPr>
              <w:fldChar w:fldCharType="end"/>
            </w:r>
          </w:p>
        </w:sdtContent>
      </w:sdt>
    </w:sdtContent>
  </w:sdt>
  <w:p w:rsidR="001D7BA3" w:rsidRDefault="001D7BA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92E" w:rsidRDefault="0015092E" w:rsidP="00954F4F">
      <w:r>
        <w:separator/>
      </w:r>
    </w:p>
  </w:footnote>
  <w:footnote w:type="continuationSeparator" w:id="0">
    <w:p w:rsidR="0015092E" w:rsidRDefault="0015092E" w:rsidP="00954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100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6177"/>
      <w:gridCol w:w="2356"/>
    </w:tblGrid>
    <w:tr w:rsidR="000A64DD" w:rsidTr="00E837DE">
      <w:trPr>
        <w:trHeight w:val="1336"/>
        <w:jc w:val="center"/>
      </w:trPr>
      <w:tc>
        <w:tcPr>
          <w:tcW w:w="1384" w:type="dxa"/>
          <w:vAlign w:val="center"/>
        </w:tcPr>
        <w:p w:rsidR="009A5DD7" w:rsidRDefault="009A5DD7" w:rsidP="003D534F">
          <w:pPr>
            <w:pStyle w:val="Cabealho"/>
            <w:jc w:val="center"/>
          </w:pPr>
          <w:r w:rsidRPr="00954F4F">
            <w:rPr>
              <w:rFonts w:ascii="Arial" w:eastAsiaTheme="minorHAnsi" w:hAnsi="Arial" w:cs="Arial"/>
              <w:b/>
              <w:bCs/>
              <w:noProof/>
              <w:sz w:val="16"/>
              <w:szCs w:val="16"/>
              <w:lang w:eastAsia="pt-BR"/>
            </w:rPr>
            <w:drawing>
              <wp:anchor distT="0" distB="0" distL="114300" distR="114300" simplePos="0" relativeHeight="251659264" behindDoc="0" locked="0" layoutInCell="1" allowOverlap="1" wp14:anchorId="6428FF75" wp14:editId="13DD1395">
                <wp:simplePos x="0" y="0"/>
                <wp:positionH relativeFrom="column">
                  <wp:posOffset>-70485</wp:posOffset>
                </wp:positionH>
                <wp:positionV relativeFrom="paragraph">
                  <wp:posOffset>36195</wp:posOffset>
                </wp:positionV>
                <wp:extent cx="847725" cy="755650"/>
                <wp:effectExtent l="0" t="0" r="9525" b="6350"/>
                <wp:wrapNone/>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7556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81" w:type="dxa"/>
          <w:vAlign w:val="center"/>
        </w:tcPr>
        <w:p w:rsidR="009A5DD7" w:rsidRPr="009A5DD7" w:rsidRDefault="003D534F" w:rsidP="000A64DD">
          <w:pPr>
            <w:jc w:val="center"/>
            <w:rPr>
              <w:rFonts w:eastAsiaTheme="minorHAnsi"/>
              <w:b/>
              <w:sz w:val="28"/>
              <w:szCs w:val="28"/>
            </w:rPr>
          </w:pPr>
          <w:r w:rsidRPr="00954F4F">
            <w:rPr>
              <w:rFonts w:eastAsiaTheme="minorHAnsi"/>
              <w:noProof/>
              <w:sz w:val="22"/>
              <w:szCs w:val="22"/>
              <w:lang w:eastAsia="pt-BR"/>
            </w:rPr>
            <w:drawing>
              <wp:anchor distT="0" distB="0" distL="114300" distR="114300" simplePos="0" relativeHeight="251660288" behindDoc="1" locked="0" layoutInCell="1" allowOverlap="1" wp14:anchorId="2344FA12" wp14:editId="283A4E32">
                <wp:simplePos x="0" y="0"/>
                <wp:positionH relativeFrom="column">
                  <wp:posOffset>3691890</wp:posOffset>
                </wp:positionH>
                <wp:positionV relativeFrom="paragraph">
                  <wp:posOffset>87630</wp:posOffset>
                </wp:positionV>
                <wp:extent cx="1273810" cy="647700"/>
                <wp:effectExtent l="0" t="0" r="254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vigilancia-fina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3810" cy="647700"/>
                        </a:xfrm>
                        <a:prstGeom prst="rect">
                          <a:avLst/>
                        </a:prstGeom>
                      </pic:spPr>
                    </pic:pic>
                  </a:graphicData>
                </a:graphic>
                <wp14:sizeRelH relativeFrom="page">
                  <wp14:pctWidth>0</wp14:pctWidth>
                </wp14:sizeRelH>
                <wp14:sizeRelV relativeFrom="page">
                  <wp14:pctHeight>0</wp14:pctHeight>
                </wp14:sizeRelV>
              </wp:anchor>
            </w:drawing>
          </w:r>
          <w:r w:rsidR="009A5DD7" w:rsidRPr="009A5DD7">
            <w:rPr>
              <w:rFonts w:eastAsiaTheme="minorHAnsi"/>
              <w:b/>
              <w:sz w:val="28"/>
              <w:szCs w:val="28"/>
            </w:rPr>
            <w:t>PREFEITURA MUNICIPAL DE INDAIATUBA</w:t>
          </w:r>
        </w:p>
        <w:p w:rsidR="009A5DD7" w:rsidRPr="00954F4F" w:rsidRDefault="009A5DD7" w:rsidP="000A64DD">
          <w:pPr>
            <w:jc w:val="center"/>
            <w:rPr>
              <w:rFonts w:eastAsiaTheme="minorHAnsi"/>
              <w:b/>
            </w:rPr>
          </w:pPr>
          <w:r w:rsidRPr="00954F4F">
            <w:rPr>
              <w:rFonts w:eastAsiaTheme="minorHAnsi"/>
              <w:b/>
            </w:rPr>
            <w:t>SECRETARIA MUNICIPAL DE SAÚDE</w:t>
          </w:r>
        </w:p>
        <w:p w:rsidR="009A5DD7" w:rsidRPr="009A5DD7" w:rsidRDefault="009A5DD7" w:rsidP="000A64DD">
          <w:pPr>
            <w:jc w:val="center"/>
            <w:rPr>
              <w:rFonts w:eastAsiaTheme="minorHAnsi"/>
              <w:b/>
              <w:sz w:val="22"/>
              <w:szCs w:val="22"/>
            </w:rPr>
          </w:pPr>
          <w:r w:rsidRPr="009A5DD7">
            <w:rPr>
              <w:rFonts w:eastAsiaTheme="minorHAnsi"/>
              <w:b/>
              <w:sz w:val="22"/>
              <w:szCs w:val="22"/>
            </w:rPr>
            <w:t>Departamento de Vigilância Sanitária</w:t>
          </w:r>
        </w:p>
        <w:p w:rsidR="009A5DD7" w:rsidRPr="00954F4F" w:rsidRDefault="009A5DD7" w:rsidP="000A64DD">
          <w:pPr>
            <w:jc w:val="center"/>
            <w:rPr>
              <w:rFonts w:eastAsiaTheme="minorHAnsi"/>
              <w:sz w:val="18"/>
              <w:szCs w:val="18"/>
            </w:rPr>
          </w:pPr>
          <w:r>
            <w:rPr>
              <w:rFonts w:eastAsiaTheme="minorHAnsi"/>
              <w:sz w:val="18"/>
              <w:szCs w:val="18"/>
            </w:rPr>
            <w:t>Av</w:t>
          </w:r>
          <w:r w:rsidRPr="00954F4F">
            <w:rPr>
              <w:rFonts w:eastAsiaTheme="minorHAnsi"/>
              <w:sz w:val="18"/>
              <w:szCs w:val="18"/>
            </w:rPr>
            <w:t xml:space="preserve">. </w:t>
          </w:r>
          <w:r>
            <w:rPr>
              <w:rFonts w:eastAsiaTheme="minorHAnsi"/>
              <w:sz w:val="18"/>
              <w:szCs w:val="18"/>
            </w:rPr>
            <w:t>Engenheiro Fábio Roberto Barnabé, 2800 – Jd. Esplanada II</w:t>
          </w:r>
        </w:p>
        <w:p w:rsidR="009A5DD7" w:rsidRDefault="009A5DD7" w:rsidP="000A64DD">
          <w:pPr>
            <w:pStyle w:val="Cabealho"/>
            <w:jc w:val="center"/>
          </w:pPr>
          <w:r>
            <w:rPr>
              <w:rFonts w:eastAsiaTheme="minorHAnsi"/>
              <w:sz w:val="18"/>
              <w:szCs w:val="18"/>
            </w:rPr>
            <w:t>CEP: 13330-090</w:t>
          </w:r>
          <w:proofErr w:type="gramStart"/>
          <w:r>
            <w:rPr>
              <w:rFonts w:eastAsiaTheme="minorHAnsi"/>
              <w:sz w:val="18"/>
              <w:szCs w:val="18"/>
            </w:rPr>
            <w:t xml:space="preserve"> </w:t>
          </w:r>
          <w:r w:rsidRPr="00954F4F">
            <w:rPr>
              <w:rFonts w:eastAsiaTheme="minorHAnsi"/>
              <w:sz w:val="18"/>
              <w:szCs w:val="18"/>
            </w:rPr>
            <w:t xml:space="preserve"> </w:t>
          </w:r>
          <w:proofErr w:type="gramEnd"/>
          <w:r w:rsidR="003D534F">
            <w:rPr>
              <w:rFonts w:eastAsiaTheme="minorHAnsi"/>
              <w:sz w:val="18"/>
              <w:szCs w:val="18"/>
            </w:rPr>
            <w:t>–</w:t>
          </w:r>
          <w:r w:rsidRPr="00954F4F">
            <w:rPr>
              <w:rFonts w:eastAsiaTheme="minorHAnsi"/>
              <w:sz w:val="18"/>
              <w:szCs w:val="18"/>
            </w:rPr>
            <w:t xml:space="preserve">  INDAIATUBA /SP</w:t>
          </w:r>
        </w:p>
      </w:tc>
      <w:tc>
        <w:tcPr>
          <w:tcW w:w="2091" w:type="dxa"/>
          <w:vAlign w:val="center"/>
        </w:tcPr>
        <w:p w:rsidR="009A5DD7" w:rsidRDefault="009A5DD7" w:rsidP="000A64DD">
          <w:pPr>
            <w:pStyle w:val="Cabealho"/>
            <w:jc w:val="center"/>
          </w:pPr>
        </w:p>
      </w:tc>
    </w:tr>
  </w:tbl>
  <w:p w:rsidR="009A5DD7" w:rsidRDefault="009A5DD7" w:rsidP="003D534F">
    <w:pPr>
      <w:spacing w:line="276" w:lineRule="auto"/>
      <w:jc w:val="both"/>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904DF"/>
    <w:multiLevelType w:val="hybridMultilevel"/>
    <w:tmpl w:val="A17EC898"/>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F4F"/>
    <w:rsid w:val="00003C4C"/>
    <w:rsid w:val="00022D9E"/>
    <w:rsid w:val="00033886"/>
    <w:rsid w:val="0006127D"/>
    <w:rsid w:val="00074F87"/>
    <w:rsid w:val="000A3E0A"/>
    <w:rsid w:val="000A4D80"/>
    <w:rsid w:val="000A64DD"/>
    <w:rsid w:val="000B36BF"/>
    <w:rsid w:val="000C2F66"/>
    <w:rsid w:val="000F1162"/>
    <w:rsid w:val="000F68A2"/>
    <w:rsid w:val="0012276C"/>
    <w:rsid w:val="00127F79"/>
    <w:rsid w:val="00141916"/>
    <w:rsid w:val="0015092E"/>
    <w:rsid w:val="00194653"/>
    <w:rsid w:val="001C6AB8"/>
    <w:rsid w:val="001D7BA3"/>
    <w:rsid w:val="001F016B"/>
    <w:rsid w:val="00213047"/>
    <w:rsid w:val="00217E75"/>
    <w:rsid w:val="00221CB9"/>
    <w:rsid w:val="0023503B"/>
    <w:rsid w:val="00255149"/>
    <w:rsid w:val="00264F41"/>
    <w:rsid w:val="00274B85"/>
    <w:rsid w:val="00276A97"/>
    <w:rsid w:val="002D753B"/>
    <w:rsid w:val="0030021C"/>
    <w:rsid w:val="00311498"/>
    <w:rsid w:val="003410C7"/>
    <w:rsid w:val="00372869"/>
    <w:rsid w:val="003A7C5D"/>
    <w:rsid w:val="003D534F"/>
    <w:rsid w:val="003E6B29"/>
    <w:rsid w:val="00404105"/>
    <w:rsid w:val="0041271B"/>
    <w:rsid w:val="00424596"/>
    <w:rsid w:val="004374BD"/>
    <w:rsid w:val="004406F0"/>
    <w:rsid w:val="004452DA"/>
    <w:rsid w:val="00446CEF"/>
    <w:rsid w:val="004474C4"/>
    <w:rsid w:val="004510CF"/>
    <w:rsid w:val="00470F22"/>
    <w:rsid w:val="004C7BF1"/>
    <w:rsid w:val="004D1A8C"/>
    <w:rsid w:val="004D5F85"/>
    <w:rsid w:val="004E356A"/>
    <w:rsid w:val="004F0C4B"/>
    <w:rsid w:val="005002D8"/>
    <w:rsid w:val="005042FA"/>
    <w:rsid w:val="00506095"/>
    <w:rsid w:val="00514457"/>
    <w:rsid w:val="00526E49"/>
    <w:rsid w:val="00537A70"/>
    <w:rsid w:val="00572D32"/>
    <w:rsid w:val="00581F01"/>
    <w:rsid w:val="005A4C0D"/>
    <w:rsid w:val="005D20D2"/>
    <w:rsid w:val="005E1AAA"/>
    <w:rsid w:val="005E3F60"/>
    <w:rsid w:val="005F029D"/>
    <w:rsid w:val="005F13C8"/>
    <w:rsid w:val="005F5914"/>
    <w:rsid w:val="0061133B"/>
    <w:rsid w:val="006279E8"/>
    <w:rsid w:val="0063623E"/>
    <w:rsid w:val="00647AE5"/>
    <w:rsid w:val="006707DA"/>
    <w:rsid w:val="00696F19"/>
    <w:rsid w:val="006C23C3"/>
    <w:rsid w:val="006E64D0"/>
    <w:rsid w:val="006F0796"/>
    <w:rsid w:val="006F0FC1"/>
    <w:rsid w:val="006F5D8C"/>
    <w:rsid w:val="0072188B"/>
    <w:rsid w:val="007305C9"/>
    <w:rsid w:val="00730CC1"/>
    <w:rsid w:val="00733CCF"/>
    <w:rsid w:val="007363A8"/>
    <w:rsid w:val="00740F10"/>
    <w:rsid w:val="007562FF"/>
    <w:rsid w:val="007605D7"/>
    <w:rsid w:val="00774AA5"/>
    <w:rsid w:val="00787B6A"/>
    <w:rsid w:val="007B56BD"/>
    <w:rsid w:val="007D170E"/>
    <w:rsid w:val="007E0D21"/>
    <w:rsid w:val="007F7AC5"/>
    <w:rsid w:val="00804DA8"/>
    <w:rsid w:val="00822829"/>
    <w:rsid w:val="00844244"/>
    <w:rsid w:val="00874231"/>
    <w:rsid w:val="008816B0"/>
    <w:rsid w:val="008846AA"/>
    <w:rsid w:val="00892656"/>
    <w:rsid w:val="00894877"/>
    <w:rsid w:val="008B2B46"/>
    <w:rsid w:val="008D227A"/>
    <w:rsid w:val="008D6D25"/>
    <w:rsid w:val="008E48C8"/>
    <w:rsid w:val="009161B8"/>
    <w:rsid w:val="009251B7"/>
    <w:rsid w:val="0094124F"/>
    <w:rsid w:val="00954F4F"/>
    <w:rsid w:val="00972F85"/>
    <w:rsid w:val="00983EED"/>
    <w:rsid w:val="00986993"/>
    <w:rsid w:val="00990F1E"/>
    <w:rsid w:val="009A5DD7"/>
    <w:rsid w:val="009D4284"/>
    <w:rsid w:val="009E6BAF"/>
    <w:rsid w:val="009F42F9"/>
    <w:rsid w:val="00A106ED"/>
    <w:rsid w:val="00A248F7"/>
    <w:rsid w:val="00A24D4E"/>
    <w:rsid w:val="00A52487"/>
    <w:rsid w:val="00A66031"/>
    <w:rsid w:val="00AA6623"/>
    <w:rsid w:val="00AB45E5"/>
    <w:rsid w:val="00AD1FB9"/>
    <w:rsid w:val="00B07237"/>
    <w:rsid w:val="00B11D52"/>
    <w:rsid w:val="00B15435"/>
    <w:rsid w:val="00B16617"/>
    <w:rsid w:val="00B4050B"/>
    <w:rsid w:val="00B95B82"/>
    <w:rsid w:val="00BB3E9D"/>
    <w:rsid w:val="00BC2090"/>
    <w:rsid w:val="00BC3B92"/>
    <w:rsid w:val="00BF646C"/>
    <w:rsid w:val="00C12751"/>
    <w:rsid w:val="00C260EE"/>
    <w:rsid w:val="00C5660C"/>
    <w:rsid w:val="00C76FF8"/>
    <w:rsid w:val="00CA0A8E"/>
    <w:rsid w:val="00CA2F32"/>
    <w:rsid w:val="00CF2658"/>
    <w:rsid w:val="00D01716"/>
    <w:rsid w:val="00D15D0C"/>
    <w:rsid w:val="00D24C58"/>
    <w:rsid w:val="00D7471F"/>
    <w:rsid w:val="00D91096"/>
    <w:rsid w:val="00D955D8"/>
    <w:rsid w:val="00DA0442"/>
    <w:rsid w:val="00DA4358"/>
    <w:rsid w:val="00DB19F8"/>
    <w:rsid w:val="00DB4AB2"/>
    <w:rsid w:val="00DB4E56"/>
    <w:rsid w:val="00DD2F4E"/>
    <w:rsid w:val="00DE1BD3"/>
    <w:rsid w:val="00DE77A1"/>
    <w:rsid w:val="00E12DB9"/>
    <w:rsid w:val="00E13E36"/>
    <w:rsid w:val="00E34862"/>
    <w:rsid w:val="00E7092D"/>
    <w:rsid w:val="00E837DE"/>
    <w:rsid w:val="00E97891"/>
    <w:rsid w:val="00EC30DF"/>
    <w:rsid w:val="00EE442D"/>
    <w:rsid w:val="00EF3038"/>
    <w:rsid w:val="00F0284A"/>
    <w:rsid w:val="00F049B7"/>
    <w:rsid w:val="00F13F83"/>
    <w:rsid w:val="00F352EF"/>
    <w:rsid w:val="00F41C0B"/>
    <w:rsid w:val="00F5126F"/>
    <w:rsid w:val="00F51B12"/>
    <w:rsid w:val="00F60AC8"/>
    <w:rsid w:val="00F94F67"/>
    <w:rsid w:val="00FA064E"/>
    <w:rsid w:val="00FA2B4D"/>
    <w:rsid w:val="00FA3D35"/>
    <w:rsid w:val="00FB59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F4F"/>
    <w:pPr>
      <w:spacing w:after="0" w:line="240" w:lineRule="auto"/>
    </w:pPr>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54F4F"/>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54F4F"/>
    <w:pPr>
      <w:tabs>
        <w:tab w:val="center" w:pos="4252"/>
        <w:tab w:val="right" w:pos="8504"/>
      </w:tabs>
    </w:pPr>
  </w:style>
  <w:style w:type="character" w:customStyle="1" w:styleId="CabealhoChar">
    <w:name w:val="Cabeçalho Char"/>
    <w:basedOn w:val="Fontepargpadro"/>
    <w:link w:val="Cabealho"/>
    <w:uiPriority w:val="99"/>
    <w:rsid w:val="00954F4F"/>
    <w:rPr>
      <w:rFonts w:eastAsiaTheme="minorEastAsia"/>
      <w:sz w:val="24"/>
      <w:szCs w:val="24"/>
    </w:rPr>
  </w:style>
  <w:style w:type="paragraph" w:styleId="Rodap">
    <w:name w:val="footer"/>
    <w:basedOn w:val="Normal"/>
    <w:link w:val="RodapChar"/>
    <w:uiPriority w:val="99"/>
    <w:unhideWhenUsed/>
    <w:rsid w:val="00954F4F"/>
    <w:pPr>
      <w:tabs>
        <w:tab w:val="center" w:pos="4252"/>
        <w:tab w:val="right" w:pos="8504"/>
      </w:tabs>
    </w:pPr>
  </w:style>
  <w:style w:type="character" w:customStyle="1" w:styleId="RodapChar">
    <w:name w:val="Rodapé Char"/>
    <w:basedOn w:val="Fontepargpadro"/>
    <w:link w:val="Rodap"/>
    <w:uiPriority w:val="99"/>
    <w:rsid w:val="00954F4F"/>
    <w:rPr>
      <w:rFonts w:eastAsiaTheme="minorEastAsia"/>
      <w:sz w:val="24"/>
      <w:szCs w:val="24"/>
    </w:rPr>
  </w:style>
  <w:style w:type="table" w:customStyle="1" w:styleId="Tabelacomgrade1">
    <w:name w:val="Tabela com grade1"/>
    <w:basedOn w:val="Tabelanormal"/>
    <w:next w:val="Tabelacomgrade"/>
    <w:uiPriority w:val="59"/>
    <w:rsid w:val="00954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FA3D35"/>
    <w:rPr>
      <w:b/>
      <w:bCs/>
      <w:smallCaps/>
      <w:color w:val="C0504D" w:themeColor="accent2"/>
      <w:spacing w:val="5"/>
      <w:u w:val="single"/>
    </w:rPr>
  </w:style>
  <w:style w:type="paragraph" w:styleId="Textodebalo">
    <w:name w:val="Balloon Text"/>
    <w:basedOn w:val="Normal"/>
    <w:link w:val="TextodebaloChar"/>
    <w:uiPriority w:val="99"/>
    <w:semiHidden/>
    <w:unhideWhenUsed/>
    <w:rsid w:val="00F60AC8"/>
    <w:rPr>
      <w:rFonts w:ascii="Segoe UI" w:hAnsi="Segoe UI" w:cs="Segoe UI"/>
      <w:sz w:val="18"/>
      <w:szCs w:val="18"/>
    </w:rPr>
  </w:style>
  <w:style w:type="character" w:customStyle="1" w:styleId="TextodebaloChar">
    <w:name w:val="Texto de balão Char"/>
    <w:basedOn w:val="Fontepargpadro"/>
    <w:link w:val="Textodebalo"/>
    <w:uiPriority w:val="99"/>
    <w:semiHidden/>
    <w:rsid w:val="00F60AC8"/>
    <w:rPr>
      <w:rFonts w:ascii="Segoe UI" w:eastAsiaTheme="minorEastAsia" w:hAnsi="Segoe UI" w:cs="Segoe UI"/>
      <w:sz w:val="18"/>
      <w:szCs w:val="18"/>
    </w:rPr>
  </w:style>
  <w:style w:type="paragraph" w:styleId="PargrafodaLista">
    <w:name w:val="List Paragraph"/>
    <w:basedOn w:val="Normal"/>
    <w:uiPriority w:val="34"/>
    <w:qFormat/>
    <w:rsid w:val="002130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F4F"/>
    <w:pPr>
      <w:spacing w:after="0" w:line="240" w:lineRule="auto"/>
    </w:pPr>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54F4F"/>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54F4F"/>
    <w:pPr>
      <w:tabs>
        <w:tab w:val="center" w:pos="4252"/>
        <w:tab w:val="right" w:pos="8504"/>
      </w:tabs>
    </w:pPr>
  </w:style>
  <w:style w:type="character" w:customStyle="1" w:styleId="CabealhoChar">
    <w:name w:val="Cabeçalho Char"/>
    <w:basedOn w:val="Fontepargpadro"/>
    <w:link w:val="Cabealho"/>
    <w:uiPriority w:val="99"/>
    <w:rsid w:val="00954F4F"/>
    <w:rPr>
      <w:rFonts w:eastAsiaTheme="minorEastAsia"/>
      <w:sz w:val="24"/>
      <w:szCs w:val="24"/>
    </w:rPr>
  </w:style>
  <w:style w:type="paragraph" w:styleId="Rodap">
    <w:name w:val="footer"/>
    <w:basedOn w:val="Normal"/>
    <w:link w:val="RodapChar"/>
    <w:uiPriority w:val="99"/>
    <w:unhideWhenUsed/>
    <w:rsid w:val="00954F4F"/>
    <w:pPr>
      <w:tabs>
        <w:tab w:val="center" w:pos="4252"/>
        <w:tab w:val="right" w:pos="8504"/>
      </w:tabs>
    </w:pPr>
  </w:style>
  <w:style w:type="character" w:customStyle="1" w:styleId="RodapChar">
    <w:name w:val="Rodapé Char"/>
    <w:basedOn w:val="Fontepargpadro"/>
    <w:link w:val="Rodap"/>
    <w:uiPriority w:val="99"/>
    <w:rsid w:val="00954F4F"/>
    <w:rPr>
      <w:rFonts w:eastAsiaTheme="minorEastAsia"/>
      <w:sz w:val="24"/>
      <w:szCs w:val="24"/>
    </w:rPr>
  </w:style>
  <w:style w:type="table" w:customStyle="1" w:styleId="Tabelacomgrade1">
    <w:name w:val="Tabela com grade1"/>
    <w:basedOn w:val="Tabelanormal"/>
    <w:next w:val="Tabelacomgrade"/>
    <w:uiPriority w:val="59"/>
    <w:rsid w:val="00954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FA3D35"/>
    <w:rPr>
      <w:b/>
      <w:bCs/>
      <w:smallCaps/>
      <w:color w:val="C0504D" w:themeColor="accent2"/>
      <w:spacing w:val="5"/>
      <w:u w:val="single"/>
    </w:rPr>
  </w:style>
  <w:style w:type="paragraph" w:styleId="Textodebalo">
    <w:name w:val="Balloon Text"/>
    <w:basedOn w:val="Normal"/>
    <w:link w:val="TextodebaloChar"/>
    <w:uiPriority w:val="99"/>
    <w:semiHidden/>
    <w:unhideWhenUsed/>
    <w:rsid w:val="00F60AC8"/>
    <w:rPr>
      <w:rFonts w:ascii="Segoe UI" w:hAnsi="Segoe UI" w:cs="Segoe UI"/>
      <w:sz w:val="18"/>
      <w:szCs w:val="18"/>
    </w:rPr>
  </w:style>
  <w:style w:type="character" w:customStyle="1" w:styleId="TextodebaloChar">
    <w:name w:val="Texto de balão Char"/>
    <w:basedOn w:val="Fontepargpadro"/>
    <w:link w:val="Textodebalo"/>
    <w:uiPriority w:val="99"/>
    <w:semiHidden/>
    <w:rsid w:val="00F60AC8"/>
    <w:rPr>
      <w:rFonts w:ascii="Segoe UI" w:eastAsiaTheme="minorEastAsia" w:hAnsi="Segoe UI" w:cs="Segoe UI"/>
      <w:sz w:val="18"/>
      <w:szCs w:val="18"/>
    </w:rPr>
  </w:style>
  <w:style w:type="paragraph" w:styleId="PargrafodaLista">
    <w:name w:val="List Paragraph"/>
    <w:basedOn w:val="Normal"/>
    <w:uiPriority w:val="34"/>
    <w:qFormat/>
    <w:rsid w:val="00213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B9209-D44C-43DA-8FE3-BC0622283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3</Pages>
  <Words>893</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 de Lima Freire</dc:creator>
  <cp:lastModifiedBy>Paulo Cezar Conte</cp:lastModifiedBy>
  <cp:revision>139</cp:revision>
  <cp:lastPrinted>2025-02-14T19:51:00Z</cp:lastPrinted>
  <dcterms:created xsi:type="dcterms:W3CDTF">2021-06-08T11:26:00Z</dcterms:created>
  <dcterms:modified xsi:type="dcterms:W3CDTF">2025-02-14T19:52:00Z</dcterms:modified>
</cp:coreProperties>
</file>